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C7C41" w:rsidRPr="008C7C41" w:rsidTr="008C7C41">
        <w:trPr>
          <w:tblCellSpacing w:w="0" w:type="dxa"/>
          <w:jc w:val="center"/>
        </w:trPr>
        <w:tc>
          <w:tcPr>
            <w:tcW w:w="5000" w:type="pct"/>
            <w:shd w:val="clear" w:color="auto" w:fill="FFFFFF"/>
            <w:hideMark/>
          </w:tcPr>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8C7C41" w:rsidRPr="008C7C41">
              <w:trPr>
                <w:tblCellSpacing w:w="0" w:type="dxa"/>
              </w:trPr>
              <w:tc>
                <w:tcPr>
                  <w:tcW w:w="5000" w:type="pct"/>
                  <w:shd w:val="clear" w:color="auto" w:fill="FFFFFF"/>
                  <w:hideMark/>
                </w:tcPr>
                <w:tbl>
                  <w:tblPr>
                    <w:tblpPr w:leftFromText="45" w:rightFromText="45" w:vertAnchor="text" w:tblpXSpec="right" w:tblpYSpec="center"/>
                    <w:tblW w:w="1400" w:type="pct"/>
                    <w:tblCellSpacing w:w="0" w:type="dxa"/>
                    <w:tblCellMar>
                      <w:top w:w="60" w:type="dxa"/>
                      <w:left w:w="60" w:type="dxa"/>
                      <w:bottom w:w="60" w:type="dxa"/>
                      <w:right w:w="60" w:type="dxa"/>
                    </w:tblCellMar>
                    <w:tblLook w:val="04A0" w:firstRow="1" w:lastRow="0" w:firstColumn="1" w:lastColumn="0" w:noHBand="0" w:noVBand="1"/>
                  </w:tblPr>
                  <w:tblGrid>
                    <w:gridCol w:w="2970"/>
                  </w:tblGrid>
                  <w:tr w:rsidR="008C7C41" w:rsidRPr="008C7C41">
                    <w:trPr>
                      <w:tblCellSpacing w:w="0" w:type="dxa"/>
                    </w:trPr>
                    <w:tc>
                      <w:tcPr>
                        <w:tcW w:w="5000" w:type="pct"/>
                        <w:shd w:val="clear" w:color="auto" w:fill="FFFFFF"/>
                        <w:hideMark/>
                      </w:tcPr>
                      <w:p w:rsidR="008C7C41" w:rsidRPr="008C7C41" w:rsidRDefault="008C7C41" w:rsidP="008C7C41">
                        <w:pPr>
                          <w:spacing w:after="0" w:line="15" w:lineRule="atLeast"/>
                          <w:jc w:val="right"/>
                          <w:rPr>
                            <w:rFonts w:ascii="Calibri" w:eastAsia="Times New Roman" w:hAnsi="Calibri" w:cs="Calibri"/>
                            <w:sz w:val="5"/>
                            <w:szCs w:val="5"/>
                          </w:rPr>
                        </w:pPr>
                        <w:r w:rsidRPr="008C7C41">
                          <w:rPr>
                            <w:rFonts w:ascii="Calibri" w:eastAsia="Times New Roman" w:hAnsi="Calibri" w:cs="Calibri"/>
                            <w:sz w:val="5"/>
                            <w:szCs w:val="5"/>
                          </w:rPr>
                          <w:t> </w:t>
                        </w:r>
                      </w:p>
                    </w:tc>
                  </w:tr>
                  <w:tr w:rsidR="008C7C41" w:rsidRPr="008C7C41">
                    <w:trPr>
                      <w:tblCellSpacing w:w="0" w:type="dxa"/>
                    </w:trPr>
                    <w:tc>
                      <w:tcPr>
                        <w:tcW w:w="5000" w:type="pct"/>
                        <w:shd w:val="clear" w:color="auto" w:fill="FFFFFF"/>
                        <w:hideMark/>
                      </w:tcPr>
                      <w:p w:rsidR="008C7C41" w:rsidRPr="008C7C41" w:rsidRDefault="008C7C41" w:rsidP="008C7C41">
                        <w:pPr>
                          <w:spacing w:after="0" w:line="240" w:lineRule="auto"/>
                          <w:jc w:val="right"/>
                          <w:rPr>
                            <w:rFonts w:ascii="Calibri" w:eastAsia="Times New Roman" w:hAnsi="Calibri" w:cs="Calibri"/>
                          </w:rPr>
                        </w:pPr>
                        <w:r w:rsidRPr="008C7C41">
                          <w:rPr>
                            <w:rFonts w:ascii="Calibri" w:eastAsia="Times New Roman" w:hAnsi="Calibri" w:cs="Calibri"/>
                            <w:noProof/>
                            <w:color w:val="0000FF"/>
                            <w:bdr w:val="single" w:sz="6" w:space="0" w:color="808080" w:frame="1"/>
                          </w:rPr>
                          <w:drawing>
                            <wp:inline distT="0" distB="0" distL="0" distR="0" wp14:anchorId="69EA1F90" wp14:editId="62D79849">
                              <wp:extent cx="1790700" cy="2377440"/>
                              <wp:effectExtent l="0" t="0" r="0" b="3810"/>
                              <wp:docPr id="13" name="Picture 13" descr="co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2377440"/>
                                      </a:xfrm>
                                      <a:prstGeom prst="rect">
                                        <a:avLst/>
                                      </a:prstGeom>
                                      <a:noFill/>
                                      <a:ln>
                                        <a:noFill/>
                                      </a:ln>
                                    </pic:spPr>
                                  </pic:pic>
                                </a:graphicData>
                              </a:graphic>
                            </wp:inline>
                          </w:drawing>
                        </w:r>
                      </w:p>
                    </w:tc>
                  </w:tr>
                </w:tbl>
                <w:p w:rsidR="008C7C41" w:rsidRPr="008C7C41" w:rsidRDefault="008C7C41" w:rsidP="008C7C41">
                  <w:pPr>
                    <w:spacing w:before="240" w:after="240" w:line="300" w:lineRule="atLeast"/>
                    <w:rPr>
                      <w:rFonts w:ascii="Arial" w:eastAsia="Calibri" w:hAnsi="Arial" w:cs="Arial"/>
                      <w:color w:val="53565A"/>
                      <w:sz w:val="23"/>
                      <w:szCs w:val="23"/>
                    </w:rPr>
                  </w:pPr>
                  <w:bookmarkStart w:id="0" w:name="_GoBack"/>
                  <w:bookmarkEnd w:id="0"/>
                  <w:r w:rsidRPr="008C7C41">
                    <w:rPr>
                      <w:rFonts w:ascii="Arial" w:eastAsia="Calibri" w:hAnsi="Arial" w:cs="Arial"/>
                      <w:color w:val="53565A"/>
                      <w:sz w:val="23"/>
                      <w:szCs w:val="23"/>
                    </w:rPr>
                    <w:t xml:space="preserve">Share Link – a personalized URL providing </w:t>
                  </w:r>
                  <w:r w:rsidRPr="008C7C41">
                    <w:rPr>
                      <w:rFonts w:ascii="Arial" w:eastAsia="Calibri" w:hAnsi="Arial" w:cs="Arial"/>
                      <w:b/>
                      <w:bCs/>
                      <w:color w:val="53565A"/>
                      <w:sz w:val="23"/>
                      <w:szCs w:val="23"/>
                    </w:rPr>
                    <w:t>50 days' free access</w:t>
                  </w:r>
                  <w:r w:rsidRPr="008C7C41">
                    <w:rPr>
                      <w:rFonts w:ascii="Arial" w:eastAsia="Calibri" w:hAnsi="Arial" w:cs="Arial"/>
                      <w:color w:val="53565A"/>
                      <w:sz w:val="23"/>
                      <w:szCs w:val="23"/>
                    </w:rPr>
                    <w:t xml:space="preserve"> to the article. Anyone clicking on this link before September 01, 2022 will be taken directly to the final version of your article on ScienceDirect, which they are welcome to read or download. No sign up, registration or fees are required.</w:t>
                  </w:r>
                </w:p>
              </w:tc>
            </w:tr>
          </w:tbl>
          <w:p w:rsidR="008C7C41" w:rsidRPr="008C7C41" w:rsidRDefault="008C7C41" w:rsidP="008C7C41">
            <w:pPr>
              <w:spacing w:after="0" w:line="240" w:lineRule="auto"/>
              <w:rPr>
                <w:rFonts w:ascii="Times New Roman" w:eastAsia="Times New Roman" w:hAnsi="Times New Roman" w:cs="Times New Roman"/>
                <w:sz w:val="20"/>
                <w:szCs w:val="20"/>
              </w:rPr>
            </w:pPr>
          </w:p>
        </w:tc>
      </w:tr>
      <w:tr w:rsidR="008C7C41" w:rsidRPr="008C7C41" w:rsidTr="008C7C41">
        <w:trPr>
          <w:tblCellSpacing w:w="0" w:type="dxa"/>
          <w:jc w:val="center"/>
        </w:trPr>
        <w:tc>
          <w:tcPr>
            <w:tcW w:w="5000" w:type="pct"/>
            <w:shd w:val="clear" w:color="auto" w:fill="FFFFFF"/>
            <w:hideMark/>
          </w:tcPr>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8C7C41" w:rsidRPr="008C7C41">
              <w:trPr>
                <w:tblCellSpacing w:w="0" w:type="dxa"/>
              </w:trPr>
              <w:tc>
                <w:tcPr>
                  <w:tcW w:w="5000" w:type="pct"/>
                  <w:shd w:val="clear" w:color="auto" w:fill="FFFFFF"/>
                  <w:hideMark/>
                </w:tcPr>
                <w:p w:rsidR="008C7C41" w:rsidRPr="008C7C41" w:rsidRDefault="008C7C41" w:rsidP="008C7C41">
                  <w:pPr>
                    <w:spacing w:before="240" w:after="240" w:line="300" w:lineRule="atLeast"/>
                    <w:jc w:val="center"/>
                    <w:rPr>
                      <w:rFonts w:ascii="Arial" w:eastAsia="Calibri" w:hAnsi="Arial" w:cs="Arial"/>
                      <w:color w:val="53565A"/>
                      <w:sz w:val="27"/>
                      <w:szCs w:val="27"/>
                    </w:rPr>
                  </w:pPr>
                  <w:r w:rsidRPr="008C7C41">
                    <w:rPr>
                      <w:rFonts w:ascii="Arial" w:eastAsia="Calibri" w:hAnsi="Arial" w:cs="Arial"/>
                      <w:color w:val="53565A"/>
                      <w:sz w:val="27"/>
                      <w:szCs w:val="27"/>
                    </w:rPr>
                    <w:t>Your personalized Share Link:</w:t>
                  </w:r>
                  <w:r w:rsidRPr="008C7C41">
                    <w:rPr>
                      <w:rFonts w:ascii="Arial" w:eastAsia="Calibri" w:hAnsi="Arial" w:cs="Arial"/>
                      <w:color w:val="53565A"/>
                      <w:sz w:val="27"/>
                      <w:szCs w:val="27"/>
                    </w:rPr>
                    <w:br/>
                  </w:r>
                  <w:hyperlink r:id="rId6" w:tgtFrame="_blank" w:history="1">
                    <w:r w:rsidRPr="008C7C41">
                      <w:rPr>
                        <w:rFonts w:ascii="Arial" w:eastAsia="Calibri" w:hAnsi="Arial" w:cs="Arial"/>
                        <w:color w:val="007398"/>
                        <w:sz w:val="27"/>
                        <w:szCs w:val="27"/>
                        <w:u w:val="single"/>
                      </w:rPr>
                      <w:t>https://authors.elsevier.com/c/1fPFO6geyxub-X</w:t>
                    </w:r>
                  </w:hyperlink>
                </w:p>
                <w:p w:rsidR="008C7C41" w:rsidRPr="008C7C41" w:rsidRDefault="008C7C41" w:rsidP="008C7C41">
                  <w:pPr>
                    <w:spacing w:before="240" w:after="240" w:line="300" w:lineRule="atLeast"/>
                    <w:jc w:val="center"/>
                    <w:rPr>
                      <w:rFonts w:ascii="Arial" w:eastAsia="Calibri" w:hAnsi="Arial" w:cs="Arial"/>
                      <w:color w:val="53565A"/>
                      <w:sz w:val="23"/>
                      <w:szCs w:val="23"/>
                    </w:rPr>
                  </w:pPr>
                  <w:r w:rsidRPr="008C7C41">
                    <w:rPr>
                      <w:rFonts w:ascii="Arial" w:eastAsia="Calibri" w:hAnsi="Arial" w:cs="Arial"/>
                      <w:color w:val="53565A"/>
                      <w:sz w:val="23"/>
                      <w:szCs w:val="23"/>
                    </w:rPr>
                    <w:t>Click on the icons below to share with your network:</w:t>
                  </w:r>
                </w:p>
                <w:p w:rsidR="008C7C41" w:rsidRPr="008C7C41" w:rsidRDefault="008C7C41" w:rsidP="008C7C41">
                  <w:pPr>
                    <w:spacing w:after="0" w:line="300" w:lineRule="atLeast"/>
                    <w:jc w:val="center"/>
                    <w:rPr>
                      <w:rFonts w:ascii="Arial" w:eastAsia="Times New Roman" w:hAnsi="Arial" w:cs="Arial"/>
                      <w:color w:val="53565A"/>
                      <w:sz w:val="23"/>
                      <w:szCs w:val="23"/>
                    </w:rPr>
                  </w:pPr>
                  <w:r w:rsidRPr="008C7C41">
                    <w:rPr>
                      <w:rFonts w:ascii="Arial" w:eastAsia="Times New Roman" w:hAnsi="Arial" w:cs="Arial"/>
                      <w:noProof/>
                      <w:color w:val="0000FF"/>
                      <w:sz w:val="23"/>
                      <w:szCs w:val="23"/>
                    </w:rPr>
                    <w:drawing>
                      <wp:inline distT="0" distB="0" distL="0" distR="0" wp14:anchorId="55C9D710" wp14:editId="11862327">
                        <wp:extent cx="457200" cy="457200"/>
                        <wp:effectExtent l="0" t="0" r="0" b="0"/>
                        <wp:docPr id="14" name="Picture 14" descr="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C7C41">
                    <w:rPr>
                      <w:rFonts w:ascii="Arial" w:eastAsia="Times New Roman" w:hAnsi="Arial" w:cs="Arial"/>
                      <w:noProof/>
                      <w:color w:val="0000FF"/>
                      <w:sz w:val="23"/>
                      <w:szCs w:val="23"/>
                    </w:rPr>
                    <w:drawing>
                      <wp:inline distT="0" distB="0" distL="0" distR="0" wp14:anchorId="3B4C7567" wp14:editId="0206601B">
                        <wp:extent cx="457200" cy="457200"/>
                        <wp:effectExtent l="0" t="0" r="0" b="0"/>
                        <wp:docPr id="15" name="Picture 15"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C7C41">
                    <w:rPr>
                      <w:rFonts w:ascii="Arial" w:eastAsia="Times New Roman" w:hAnsi="Arial" w:cs="Arial"/>
                      <w:noProof/>
                      <w:color w:val="0000FF"/>
                      <w:sz w:val="23"/>
                      <w:szCs w:val="23"/>
                    </w:rPr>
                    <w:drawing>
                      <wp:inline distT="0" distB="0" distL="0" distR="0" wp14:anchorId="7F40BC2B" wp14:editId="6AFF2394">
                        <wp:extent cx="457200" cy="457200"/>
                        <wp:effectExtent l="0" t="0" r="0" b="0"/>
                        <wp:docPr id="16" name="Picture 16" descr="LinkedI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C7C41">
                    <w:rPr>
                      <w:rFonts w:ascii="Arial" w:eastAsia="Times New Roman" w:hAnsi="Arial" w:cs="Arial"/>
                      <w:noProof/>
                      <w:color w:val="0000FF"/>
                      <w:sz w:val="23"/>
                      <w:szCs w:val="23"/>
                    </w:rPr>
                    <w:drawing>
                      <wp:inline distT="0" distB="0" distL="0" distR="0" wp14:anchorId="717FAFF6" wp14:editId="4CC9A676">
                        <wp:extent cx="457200" cy="457200"/>
                        <wp:effectExtent l="0" t="0" r="0" b="0"/>
                        <wp:docPr id="17" name="Picture 17" descr="Mendeley">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ndel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C7C41">
                    <w:rPr>
                      <w:rFonts w:ascii="Arial" w:eastAsia="Times New Roman" w:hAnsi="Arial" w:cs="Arial"/>
                      <w:noProof/>
                      <w:color w:val="0000FF"/>
                      <w:sz w:val="23"/>
                      <w:szCs w:val="23"/>
                    </w:rPr>
                    <w:drawing>
                      <wp:inline distT="0" distB="0" distL="0" distR="0" wp14:anchorId="4A8E5166" wp14:editId="1BC87D56">
                        <wp:extent cx="457200" cy="457200"/>
                        <wp:effectExtent l="0" t="0" r="0" b="0"/>
                        <wp:docPr id="18" name="Picture 18" descr="WeCha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eCh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C7C41" w:rsidRPr="008C7C41" w:rsidRDefault="008C7C41" w:rsidP="008C7C41">
            <w:pPr>
              <w:spacing w:after="0" w:line="240" w:lineRule="auto"/>
              <w:rPr>
                <w:rFonts w:ascii="Times New Roman" w:eastAsia="Times New Roman" w:hAnsi="Times New Roman" w:cs="Times New Roman"/>
                <w:sz w:val="20"/>
                <w:szCs w:val="20"/>
              </w:rPr>
            </w:pPr>
          </w:p>
        </w:tc>
      </w:tr>
    </w:tbl>
    <w:p w:rsidR="000D5682" w:rsidRDefault="000D5682"/>
    <w:sectPr w:rsidR="000D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41"/>
    <w:rsid w:val="000D5682"/>
    <w:rsid w:val="008C7C41"/>
    <w:rsid w:val="00977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16F6"/>
  <w15:chartTrackingRefBased/>
  <w15:docId w15:val="{64261FD3-EE1A-4E52-BA1F-A831D822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pi.addthis.com/oexchange/0.8/forward/mendeley/offer?url=https://authors.elsevier.com/c/1fPFO6geyxub-X&amp;pubid=ra-42fed1e187bae420&amp;title=AddThis%20%7C%20Home&amp;ct=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i.addthis.com/oexchange/0.8/forward/facebook/offer?url=https://authors.elsevier.com/c/1fPFO6geyxub-X&amp;pubid=ra-593812b0ff8778b4&amp;title=AddThis%20%7C%20Home&amp;ct=1"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authors.elsevier.com/c/1fPFO6geyxub-X" TargetMode="External"/><Relationship Id="rId11" Type="http://schemas.openxmlformats.org/officeDocument/2006/relationships/hyperlink" Target="https://api.addthis.com/oexchange/0.8/forward/linkedin/offer?url=https://authors.elsevier.com/c/1fPFO6geyxub-X&amp;pubid=ra-593812b0ff8778b4&amp;title=AddThis%20%7C%20Home&amp;ct=1" TargetMode="External"/><Relationship Id="rId5" Type="http://schemas.openxmlformats.org/officeDocument/2006/relationships/image" Target="media/image1.jpeg"/><Relationship Id="rId15" Type="http://schemas.openxmlformats.org/officeDocument/2006/relationships/hyperlink" Target="https://api.addthis.com/oexchange/0.8/forward/wechat/offer?url=https://authors.elsevier.com/c/1fPFO6geyxub-X&amp;pubid=ra-593812b0ff8778b4&amp;title=New%20Paper%20Published%20%7C%20&amp;ct=1" TargetMode="External"/><Relationship Id="rId10" Type="http://schemas.openxmlformats.org/officeDocument/2006/relationships/image" Target="media/image3.jpeg"/><Relationship Id="rId4" Type="http://schemas.openxmlformats.org/officeDocument/2006/relationships/hyperlink" Target="https://www.elsevier.com/locate/issn/1876-3820" TargetMode="External"/><Relationship Id="rId9" Type="http://schemas.openxmlformats.org/officeDocument/2006/relationships/hyperlink" Target="https://api.addthis.com/oexchange/0.8/forward/twitter/offer?url=https://authors.elsevier.com/c/1fPFO6geyxub-X&amp;pubid=ra-593812b0ff8778b4&amp;title=AddThis%20%7C%20Home&amp;ct=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Arab American University Palestine</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Salam Kmail</dc:creator>
  <cp:keywords/>
  <dc:description/>
  <cp:lastModifiedBy>Abdel Salam Kmail</cp:lastModifiedBy>
  <cp:revision>2</cp:revision>
  <dcterms:created xsi:type="dcterms:W3CDTF">2022-07-18T19:54:00Z</dcterms:created>
  <dcterms:modified xsi:type="dcterms:W3CDTF">2022-07-18T19:54:00Z</dcterms:modified>
</cp:coreProperties>
</file>